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26D9CB" w14:textId="365D2A25" w:rsidR="004C4815" w:rsidRPr="004A5215" w:rsidRDefault="004C4815" w:rsidP="004C4815">
      <w:pPr>
        <w:jc w:val="center"/>
        <w:rPr>
          <w:rFonts w:ascii="Arial" w:hAnsi="Arial" w:cs="Arial"/>
          <w:b/>
          <w:bCs/>
        </w:rPr>
      </w:pPr>
      <w:r w:rsidRPr="004A5215">
        <w:rPr>
          <w:rFonts w:ascii="Arial" w:hAnsi="Arial" w:cs="Arial"/>
          <w:b/>
          <w:bCs/>
        </w:rPr>
        <w:t>MATERIALIDAD EN LAS TRANSACCIONES ENTRE PARTES RELACIONADAS</w:t>
      </w:r>
    </w:p>
    <w:p w14:paraId="79CC7CBD" w14:textId="77777777" w:rsidR="004C4815" w:rsidRPr="004A5215" w:rsidRDefault="004C4815" w:rsidP="001359AC">
      <w:pPr>
        <w:rPr>
          <w:rFonts w:ascii="Arial" w:hAnsi="Arial" w:cs="Arial"/>
          <w:b/>
          <w:bCs/>
        </w:rPr>
      </w:pPr>
    </w:p>
    <w:p w14:paraId="4BE5F1C5" w14:textId="166862D0" w:rsidR="004C4815" w:rsidRPr="004A5215" w:rsidRDefault="004C4815" w:rsidP="004C4815">
      <w:pPr>
        <w:jc w:val="both"/>
        <w:rPr>
          <w:rFonts w:ascii="Arial" w:hAnsi="Arial" w:cs="Arial"/>
          <w:b/>
          <w:bCs/>
        </w:rPr>
      </w:pPr>
      <w:r w:rsidRPr="004A5215">
        <w:rPr>
          <w:rFonts w:ascii="Arial" w:hAnsi="Arial" w:cs="Arial"/>
          <w:b/>
          <w:bCs/>
        </w:rPr>
        <w:t>Materialidad de las operaciones:</w:t>
      </w:r>
    </w:p>
    <w:p w14:paraId="36372FE6" w14:textId="196ED4C9" w:rsidR="004C4815" w:rsidRPr="004A5215" w:rsidRDefault="004C4815" w:rsidP="004C4815">
      <w:pPr>
        <w:jc w:val="both"/>
        <w:rPr>
          <w:rFonts w:ascii="Arial" w:hAnsi="Arial" w:cs="Arial"/>
        </w:rPr>
      </w:pPr>
      <w:r w:rsidRPr="004A5215">
        <w:rPr>
          <w:rFonts w:ascii="Arial" w:hAnsi="Arial" w:cs="Arial"/>
        </w:rPr>
        <w:t>En el contexto de la materialidad de las operaciones entre partes relacionadas, debemos considerar algunos conceptos como son:</w:t>
      </w:r>
    </w:p>
    <w:p w14:paraId="10D9647E" w14:textId="77777777" w:rsidR="004C4815" w:rsidRPr="004C4815" w:rsidRDefault="004C4815" w:rsidP="004C4815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4C4815">
        <w:rPr>
          <w:rFonts w:ascii="Arial" w:hAnsi="Arial" w:cs="Arial"/>
        </w:rPr>
        <w:t>Entender el momento que nace la obligación de realizar el estudio de Precios de Transferencia.</w:t>
      </w:r>
    </w:p>
    <w:p w14:paraId="5A13E0BA" w14:textId="77777777" w:rsidR="004C4815" w:rsidRPr="004C4815" w:rsidRDefault="004C4815" w:rsidP="004C4815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4C4815">
        <w:rPr>
          <w:rFonts w:ascii="Arial" w:hAnsi="Arial" w:cs="Arial"/>
        </w:rPr>
        <w:t>Considerar elementos como la materialidad y la razón de negocios de las operaciones con partes relacionadas.</w:t>
      </w:r>
    </w:p>
    <w:p w14:paraId="122F2602" w14:textId="77777777" w:rsidR="004C4815" w:rsidRPr="004C4815" w:rsidRDefault="004C4815" w:rsidP="004C4815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4C4815">
        <w:rPr>
          <w:rFonts w:ascii="Arial" w:hAnsi="Arial" w:cs="Arial"/>
        </w:rPr>
        <w:t>Cómo comprobar dicha materialidad y razón de negocios.</w:t>
      </w:r>
    </w:p>
    <w:p w14:paraId="282D334C" w14:textId="77777777" w:rsidR="004C4815" w:rsidRPr="004C4815" w:rsidRDefault="004C4815" w:rsidP="004C4815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4C4815">
        <w:rPr>
          <w:rFonts w:ascii="Arial" w:hAnsi="Arial" w:cs="Arial"/>
        </w:rPr>
        <w:t>Consecuencias de no cumplir con la obligación</w:t>
      </w:r>
    </w:p>
    <w:p w14:paraId="7B29725A" w14:textId="77777777" w:rsidR="004C4815" w:rsidRPr="004C4815" w:rsidRDefault="004C4815" w:rsidP="004C4815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4C4815">
        <w:rPr>
          <w:rFonts w:ascii="Arial" w:hAnsi="Arial" w:cs="Arial"/>
        </w:rPr>
        <w:t>Estrategias que realiza el SAT para si fiscalización.</w:t>
      </w:r>
    </w:p>
    <w:p w14:paraId="71D7B019" w14:textId="6FE8B849" w:rsidR="004C4815" w:rsidRPr="004A5215" w:rsidRDefault="004C4815" w:rsidP="004C4815">
      <w:pPr>
        <w:jc w:val="both"/>
        <w:rPr>
          <w:rFonts w:ascii="Arial" w:hAnsi="Arial" w:cs="Arial"/>
        </w:rPr>
      </w:pPr>
      <w:r w:rsidRPr="004A5215">
        <w:rPr>
          <w:rFonts w:ascii="Arial" w:hAnsi="Arial" w:cs="Arial"/>
        </w:rPr>
        <w:t xml:space="preserve">La materialidad implica asegurar que las transacciones dentro del mismo grupo empresarial tengan sustancia económica y razón de negocios, más allá de un propósito Fiscal esperado.  </w:t>
      </w:r>
    </w:p>
    <w:p w14:paraId="7A8BAEC2" w14:textId="33C51A3F" w:rsidR="004C4815" w:rsidRPr="004C4815" w:rsidRDefault="004C4815" w:rsidP="004C4815">
      <w:pPr>
        <w:jc w:val="both"/>
        <w:rPr>
          <w:rFonts w:ascii="Arial" w:hAnsi="Arial" w:cs="Arial"/>
        </w:rPr>
      </w:pPr>
      <w:r w:rsidRPr="004A5215">
        <w:rPr>
          <w:rFonts w:ascii="Arial" w:hAnsi="Arial" w:cs="Arial"/>
        </w:rPr>
        <w:t>Q</w:t>
      </w:r>
      <w:r w:rsidRPr="004C4815">
        <w:rPr>
          <w:rFonts w:ascii="Arial" w:hAnsi="Arial" w:cs="Arial"/>
        </w:rPr>
        <w:t xml:space="preserve">ue dichas operaciones correspondan a actividades genuinas alineadas con el giro de negocio de las empresas involucradas, y que generen beneficios económicos reales (ingresos, </w:t>
      </w:r>
      <w:r w:rsidRPr="004A5215">
        <w:rPr>
          <w:rFonts w:ascii="Arial" w:hAnsi="Arial" w:cs="Arial"/>
        </w:rPr>
        <w:t>productos</w:t>
      </w:r>
      <w:r w:rsidRPr="004C4815">
        <w:rPr>
          <w:rFonts w:ascii="Arial" w:hAnsi="Arial" w:cs="Arial"/>
        </w:rPr>
        <w:t xml:space="preserve">, valor agregado) además de cualquier efecto fiscal.  </w:t>
      </w:r>
    </w:p>
    <w:p w14:paraId="22974F6E" w14:textId="0F17883F" w:rsidR="004C4815" w:rsidRDefault="004C4815" w:rsidP="004C4815">
      <w:pPr>
        <w:jc w:val="both"/>
        <w:rPr>
          <w:rFonts w:ascii="Arial" w:hAnsi="Arial" w:cs="Arial"/>
        </w:rPr>
      </w:pPr>
      <w:r w:rsidRPr="004A5215">
        <w:rPr>
          <w:rFonts w:ascii="Arial" w:hAnsi="Arial" w:cs="Arial"/>
        </w:rPr>
        <w:t>Si una operación entre relacionados carece de materialidad por un servicio inexistente o innecesario, el SAT podría considerarla no deducible y rechazar sus efectos Fiscales.</w:t>
      </w:r>
    </w:p>
    <w:p w14:paraId="0D1ADADF" w14:textId="3CD8FB8F" w:rsidR="004A5215" w:rsidRDefault="004A5215" w:rsidP="004A5215">
      <w:pPr>
        <w:rPr>
          <w:rFonts w:ascii="Arial" w:hAnsi="Arial" w:cs="Arial"/>
          <w:b/>
          <w:bCs/>
        </w:rPr>
      </w:pPr>
      <w:r w:rsidRPr="004A5215">
        <w:rPr>
          <w:rFonts w:ascii="Arial" w:hAnsi="Arial" w:cs="Arial"/>
          <w:b/>
          <w:bCs/>
        </w:rPr>
        <w:t>Objetivo de la fiscalización del SAT</w:t>
      </w:r>
      <w:r>
        <w:rPr>
          <w:rFonts w:ascii="Arial" w:hAnsi="Arial" w:cs="Arial"/>
          <w:b/>
          <w:bCs/>
        </w:rPr>
        <w:t>:</w:t>
      </w:r>
    </w:p>
    <w:p w14:paraId="4AEBC882" w14:textId="6F0011C1" w:rsidR="004A5215" w:rsidRDefault="004A5215" w:rsidP="004A5215">
      <w:pPr>
        <w:jc w:val="both"/>
        <w:rPr>
          <w:rFonts w:ascii="Arial" w:hAnsi="Arial" w:cs="Arial"/>
        </w:rPr>
      </w:pPr>
      <w:r w:rsidRPr="004A5215">
        <w:rPr>
          <w:rFonts w:ascii="Arial" w:hAnsi="Arial" w:cs="Arial"/>
        </w:rPr>
        <w:t xml:space="preserve">Aumentar la recaudación por medio de </w:t>
      </w:r>
      <w:r>
        <w:rPr>
          <w:rFonts w:ascii="Arial" w:hAnsi="Arial" w:cs="Arial"/>
        </w:rPr>
        <w:t>Tecnología e Inteligencia artificial, Análisis en tiempo real de las operaciones de los contribuyentes por medio del CFDI, Fiscalización a grandes contribuyentes, Análisis profundo basado en el anexo 9 (DIM) y detección de inconsistencias en márgenes de utilidad.</w:t>
      </w:r>
    </w:p>
    <w:p w14:paraId="1277E6E3" w14:textId="584132A6" w:rsidR="004A5215" w:rsidRDefault="001359AC" w:rsidP="004A5215">
      <w:pPr>
        <w:jc w:val="both"/>
        <w:rPr>
          <w:rFonts w:ascii="Arial" w:hAnsi="Arial" w:cs="Arial"/>
          <w:b/>
          <w:bCs/>
        </w:rPr>
      </w:pPr>
      <w:r w:rsidRPr="001359AC">
        <w:rPr>
          <w:rFonts w:ascii="Arial" w:hAnsi="Arial" w:cs="Arial"/>
          <w:b/>
          <w:bCs/>
        </w:rPr>
        <w:t>Incumplimientos Comunes Detectados por el SAT en Auditorías</w:t>
      </w:r>
      <w:r>
        <w:rPr>
          <w:rFonts w:ascii="Arial" w:hAnsi="Arial" w:cs="Arial"/>
          <w:b/>
          <w:bCs/>
        </w:rPr>
        <w:t>:</w:t>
      </w:r>
    </w:p>
    <w:p w14:paraId="066CCC5C" w14:textId="3B3A0ADF" w:rsidR="001359AC" w:rsidRDefault="001359AC" w:rsidP="001359AC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1359AC">
        <w:rPr>
          <w:rFonts w:ascii="Arial" w:hAnsi="Arial" w:cs="Arial"/>
        </w:rPr>
        <w:t>Falta de evidencia sustantiva del servicio o producto: No puede presentar entregables ni documentación</w:t>
      </w:r>
      <w:r>
        <w:rPr>
          <w:rFonts w:ascii="Arial" w:hAnsi="Arial" w:cs="Arial"/>
        </w:rPr>
        <w:t>.</w:t>
      </w:r>
    </w:p>
    <w:p w14:paraId="44CB1CD6" w14:textId="45413C88" w:rsidR="001359AC" w:rsidRPr="001359AC" w:rsidRDefault="001359AC" w:rsidP="001359AC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1359AC">
        <w:rPr>
          <w:rFonts w:ascii="Arial" w:hAnsi="Arial" w:cs="Arial"/>
        </w:rPr>
        <w:t>Documentos con irregularidades formales</w:t>
      </w:r>
      <w:r>
        <w:rPr>
          <w:rFonts w:ascii="Arial" w:hAnsi="Arial" w:cs="Arial"/>
        </w:rPr>
        <w:t>.</w:t>
      </w:r>
    </w:p>
    <w:p w14:paraId="4FCF5022" w14:textId="77777777" w:rsidR="001359AC" w:rsidRPr="001359AC" w:rsidRDefault="001359AC" w:rsidP="001359AC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1359AC">
        <w:rPr>
          <w:rFonts w:ascii="Arial" w:hAnsi="Arial" w:cs="Arial"/>
        </w:rPr>
        <w:t>Operación sin razón de negocios</w:t>
      </w:r>
    </w:p>
    <w:p w14:paraId="2B2FAD71" w14:textId="77777777" w:rsidR="001359AC" w:rsidRPr="001359AC" w:rsidRDefault="001359AC" w:rsidP="001359AC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1359AC">
        <w:rPr>
          <w:rFonts w:ascii="Arial" w:hAnsi="Arial" w:cs="Arial"/>
        </w:rPr>
        <w:t>No contar con un estudio de Precios de Transferencia.</w:t>
      </w:r>
    </w:p>
    <w:p w14:paraId="6C627D53" w14:textId="10F6383E" w:rsidR="004C4815" w:rsidRPr="001359AC" w:rsidRDefault="001359AC" w:rsidP="004C4815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1359AC">
        <w:rPr>
          <w:rFonts w:ascii="Arial" w:hAnsi="Arial" w:cs="Arial"/>
        </w:rPr>
        <w:t>Gastos entre partes relacionados que no son estrictamente indispensables</w:t>
      </w:r>
    </w:p>
    <w:sectPr w:rsidR="004C4815" w:rsidRPr="001359A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2262BF"/>
    <w:multiLevelType w:val="hybridMultilevel"/>
    <w:tmpl w:val="1672566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B5A8E"/>
    <w:multiLevelType w:val="hybridMultilevel"/>
    <w:tmpl w:val="A99AE1E8"/>
    <w:lvl w:ilvl="0" w:tplc="3F24A1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5E49C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48C49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E43A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32F9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F846B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3E98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AEE8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D2CD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99B5202"/>
    <w:multiLevelType w:val="hybridMultilevel"/>
    <w:tmpl w:val="A986185C"/>
    <w:lvl w:ilvl="0" w:tplc="D4008A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9B874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02EFA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DB8BF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9ABC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A8CD4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EF815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79095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44B7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434852BD"/>
    <w:multiLevelType w:val="hybridMultilevel"/>
    <w:tmpl w:val="AEFC90D6"/>
    <w:lvl w:ilvl="0" w:tplc="094849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5D873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0C0C5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B96F6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97654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3C0FC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EE16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5ACF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D8B2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48E36CD4"/>
    <w:multiLevelType w:val="hybridMultilevel"/>
    <w:tmpl w:val="B9A22E08"/>
    <w:lvl w:ilvl="0" w:tplc="4356AC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75E08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0944B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0C83C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867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CEA56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FAEB5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C80F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FCDF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5A681E83"/>
    <w:multiLevelType w:val="hybridMultilevel"/>
    <w:tmpl w:val="58263A94"/>
    <w:lvl w:ilvl="0" w:tplc="A93850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0FC93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01AD6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A64B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94D6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26B2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F5C4B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C66AA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AB8BA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5B186020"/>
    <w:multiLevelType w:val="hybridMultilevel"/>
    <w:tmpl w:val="FB00C82A"/>
    <w:lvl w:ilvl="0" w:tplc="A91876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FEE67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52F6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5EF3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DA62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38BE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0038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7AB9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0504C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5CDF186B"/>
    <w:multiLevelType w:val="hybridMultilevel"/>
    <w:tmpl w:val="DF322E86"/>
    <w:lvl w:ilvl="0" w:tplc="2E2CA2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7BAB6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1E8EA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4CC2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960D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B4C5A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6C4B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0E24B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0E4D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66244929"/>
    <w:multiLevelType w:val="hybridMultilevel"/>
    <w:tmpl w:val="EB20BB92"/>
    <w:lvl w:ilvl="0" w:tplc="75E093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02D0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EA4BC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1DA66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2B600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D32B0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4863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A4D1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A6A6F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66616BC5"/>
    <w:multiLevelType w:val="hybridMultilevel"/>
    <w:tmpl w:val="7BE6A2A4"/>
    <w:lvl w:ilvl="0" w:tplc="1D0218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0A8A5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8EB2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504D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08E8F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1E4D7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594EA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23216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A6C9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721971C6"/>
    <w:multiLevelType w:val="hybridMultilevel"/>
    <w:tmpl w:val="170EE0A6"/>
    <w:lvl w:ilvl="0" w:tplc="FB78BD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6E283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7EA8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96F6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82C3C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796DB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287E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C050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BDA94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1"/>
  </w:num>
  <w:num w:numId="5">
    <w:abstractNumId w:val="6"/>
  </w:num>
  <w:num w:numId="6">
    <w:abstractNumId w:val="9"/>
  </w:num>
  <w:num w:numId="7">
    <w:abstractNumId w:val="3"/>
  </w:num>
  <w:num w:numId="8">
    <w:abstractNumId w:val="5"/>
  </w:num>
  <w:num w:numId="9">
    <w:abstractNumId w:val="7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15"/>
    <w:rsid w:val="001359AC"/>
    <w:rsid w:val="00440CD7"/>
    <w:rsid w:val="004A5215"/>
    <w:rsid w:val="004C4815"/>
    <w:rsid w:val="004C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2A54E"/>
  <w15:chartTrackingRefBased/>
  <w15:docId w15:val="{1B279405-97F5-443F-BC14-D81D00DBE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C48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C48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C48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C48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C48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C48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C48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C48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C48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C48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C48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C48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C48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C48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C48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C48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C48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C48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C48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C48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C48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C48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C48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C48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C48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C48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C48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C48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C48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 Monroy Guerra</dc:creator>
  <cp:keywords/>
  <dc:description/>
  <cp:lastModifiedBy>Pamela Gonzalez</cp:lastModifiedBy>
  <cp:revision>2</cp:revision>
  <dcterms:created xsi:type="dcterms:W3CDTF">2025-10-31T18:54:00Z</dcterms:created>
  <dcterms:modified xsi:type="dcterms:W3CDTF">2025-10-31T18:54:00Z</dcterms:modified>
</cp:coreProperties>
</file>